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97A" w:rsidRDefault="007504BC">
      <w:pPr>
        <w:pBdr>
          <w:top w:val="nil"/>
          <w:left w:val="nil"/>
          <w:bottom w:val="nil"/>
          <w:right w:val="nil"/>
          <w:between w:val="nil"/>
        </w:pBdr>
        <w:jc w:val="center"/>
        <w:rPr>
          <w:b/>
          <w:color w:val="000000"/>
          <w:sz w:val="22"/>
          <w:szCs w:val="22"/>
          <w:u w:val="single"/>
        </w:rPr>
      </w:pPr>
      <w:r>
        <w:rPr>
          <w:b/>
          <w:color w:val="000000"/>
          <w:sz w:val="22"/>
          <w:szCs w:val="22"/>
        </w:rPr>
        <w:t>Template for the Advanced Comments on Draft Documents on Planning, Reporting and Review Mechanisms for the Resumed Session of the Third Meeting of the Subsidiary Body on Implementation</w:t>
      </w:r>
    </w:p>
    <w:p w:rsidR="00BE097A" w:rsidRDefault="00BE097A">
      <w:pPr>
        <w:pBdr>
          <w:top w:val="nil"/>
          <w:left w:val="nil"/>
          <w:bottom w:val="nil"/>
          <w:right w:val="nil"/>
          <w:between w:val="nil"/>
        </w:pBdr>
        <w:jc w:val="center"/>
        <w:rPr>
          <w:b/>
          <w:color w:val="000000"/>
          <w:sz w:val="22"/>
          <w:szCs w:val="22"/>
          <w:u w:val="single"/>
        </w:rPr>
      </w:pPr>
    </w:p>
    <w:p w:rsidR="00BE097A" w:rsidRDefault="007504BC">
      <w:pPr>
        <w:pBdr>
          <w:top w:val="nil"/>
          <w:left w:val="nil"/>
          <w:bottom w:val="nil"/>
          <w:right w:val="nil"/>
          <w:between w:val="nil"/>
        </w:pBdr>
        <w:spacing w:before="60"/>
        <w:jc w:val="center"/>
        <w:rPr>
          <w:b/>
          <w:color w:val="000000"/>
          <w:sz w:val="22"/>
          <w:szCs w:val="22"/>
          <w:u w:val="single"/>
        </w:rPr>
      </w:pPr>
      <w:r>
        <w:rPr>
          <w:b/>
          <w:color w:val="000000"/>
          <w:sz w:val="22"/>
          <w:szCs w:val="22"/>
          <w:u w:val="single"/>
        </w:rPr>
        <w:t>TEMPLATE FOR COMMENTS: Draft guidance for updating national biodiversity strategies and action plans in light of the post-2020 global biodiversity framework contained in CBD/SBI/3/11/ADD 4</w:t>
      </w:r>
    </w:p>
    <w:p w:rsidR="00BE097A" w:rsidRDefault="00BE097A">
      <w:pPr>
        <w:pBdr>
          <w:top w:val="nil"/>
          <w:left w:val="nil"/>
          <w:bottom w:val="nil"/>
          <w:right w:val="nil"/>
          <w:between w:val="nil"/>
        </w:pBdr>
        <w:jc w:val="center"/>
        <w:rPr>
          <w:b/>
          <w:color w:val="000000"/>
          <w:sz w:val="22"/>
          <w:szCs w:val="22"/>
          <w:u w:val="single"/>
        </w:rPr>
      </w:pPr>
    </w:p>
    <w:tbl>
      <w:tblPr>
        <w:tblStyle w:val="a"/>
        <w:tblW w:w="9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3"/>
        <w:gridCol w:w="5439"/>
      </w:tblGrid>
      <w:tr w:rsidR="00BE097A" w:rsidTr="00AB53A7">
        <w:trPr>
          <w:trHeight w:val="737"/>
          <w:jc w:val="center"/>
        </w:trPr>
        <w:tc>
          <w:tcPr>
            <w:tcW w:w="9558" w:type="dxa"/>
            <w:gridSpan w:val="2"/>
            <w:vAlign w:val="center"/>
          </w:tcPr>
          <w:p w:rsidR="00BE097A" w:rsidRDefault="007504BC">
            <w:pPr>
              <w:pBdr>
                <w:top w:val="nil"/>
                <w:left w:val="nil"/>
                <w:bottom w:val="nil"/>
                <w:right w:val="nil"/>
                <w:between w:val="nil"/>
              </w:pBdr>
              <w:jc w:val="center"/>
              <w:rPr>
                <w:b/>
                <w:color w:val="000000"/>
              </w:rPr>
            </w:pPr>
            <w:r>
              <w:rPr>
                <w:b/>
                <w:color w:val="000000"/>
              </w:rPr>
              <w:t>Advanced comments on the</w:t>
            </w:r>
            <w:r>
              <w:rPr>
                <w:b/>
                <w:color w:val="000000"/>
                <w:sz w:val="22"/>
                <w:szCs w:val="22"/>
              </w:rPr>
              <w:t xml:space="preserve"> draft documents on Planning, Reporting and Review Mechanisms for the Resumed Session of the Third Meeting of the Subsidiary Body on Implementation</w:t>
            </w:r>
          </w:p>
        </w:tc>
      </w:tr>
      <w:tr w:rsidR="00BE097A" w:rsidTr="00AB53A7">
        <w:trPr>
          <w:trHeight w:val="1367"/>
          <w:jc w:val="center"/>
        </w:trPr>
        <w:tc>
          <w:tcPr>
            <w:tcW w:w="4133" w:type="dxa"/>
          </w:tcPr>
          <w:p w:rsidR="00BE097A" w:rsidRDefault="007504BC">
            <w:pPr>
              <w:pBdr>
                <w:top w:val="nil"/>
                <w:left w:val="nil"/>
                <w:bottom w:val="nil"/>
                <w:right w:val="nil"/>
                <w:between w:val="nil"/>
              </w:pBdr>
              <w:spacing w:before="60" w:after="60"/>
              <w:rPr>
                <w:b/>
                <w:color w:val="000000"/>
                <w:sz w:val="22"/>
                <w:szCs w:val="22"/>
              </w:rPr>
            </w:pPr>
            <w:r>
              <w:rPr>
                <w:b/>
                <w:color w:val="000000"/>
                <w:sz w:val="22"/>
                <w:szCs w:val="22"/>
              </w:rPr>
              <w:t xml:space="preserve">Scope of this template for comments </w:t>
            </w:r>
          </w:p>
        </w:tc>
        <w:tc>
          <w:tcPr>
            <w:tcW w:w="5425" w:type="dxa"/>
          </w:tcPr>
          <w:p w:rsidR="00BE097A" w:rsidRDefault="007504BC">
            <w:r>
              <w:t xml:space="preserve">Guidance for updating national biodiversity strategies and action plans in light of the post-2020 global biodiversity framework, contained in the document CBD/SBI/3/11/Add.4 which includes a draft version of Annex A to CBD/SBI/3/CRP.5. </w:t>
            </w:r>
          </w:p>
        </w:tc>
      </w:tr>
      <w:tr w:rsidR="00BE097A" w:rsidTr="00AB53A7">
        <w:trPr>
          <w:trHeight w:val="233"/>
          <w:jc w:val="center"/>
        </w:trPr>
        <w:tc>
          <w:tcPr>
            <w:tcW w:w="9558" w:type="dxa"/>
            <w:gridSpan w:val="2"/>
            <w:shd w:val="clear" w:color="auto" w:fill="C0C0C0"/>
          </w:tcPr>
          <w:p w:rsidR="00BE097A" w:rsidRDefault="007504BC">
            <w:pPr>
              <w:jc w:val="center"/>
              <w:rPr>
                <w:b/>
                <w:i/>
              </w:rPr>
            </w:pPr>
            <w:r>
              <w:rPr>
                <w:b/>
                <w:i/>
              </w:rPr>
              <w:t>Contact information</w:t>
            </w:r>
          </w:p>
        </w:tc>
      </w:tr>
      <w:tr w:rsidR="00BE097A" w:rsidTr="00AB53A7">
        <w:trPr>
          <w:trHeight w:val="270"/>
          <w:jc w:val="center"/>
        </w:trPr>
        <w:tc>
          <w:tcPr>
            <w:tcW w:w="4133" w:type="dxa"/>
          </w:tcPr>
          <w:p w:rsidR="00BE097A" w:rsidRDefault="007504BC">
            <w:pPr>
              <w:pBdr>
                <w:top w:val="nil"/>
                <w:left w:val="nil"/>
                <w:bottom w:val="nil"/>
                <w:right w:val="nil"/>
                <w:between w:val="nil"/>
              </w:pBdr>
              <w:spacing w:before="60" w:after="60"/>
              <w:rPr>
                <w:b/>
                <w:color w:val="000000"/>
                <w:sz w:val="22"/>
                <w:szCs w:val="22"/>
              </w:rPr>
            </w:pPr>
            <w:r>
              <w:rPr>
                <w:b/>
                <w:color w:val="000000"/>
                <w:sz w:val="22"/>
                <w:szCs w:val="22"/>
              </w:rPr>
              <w:t>Surname:</w:t>
            </w:r>
          </w:p>
        </w:tc>
        <w:tc>
          <w:tcPr>
            <w:tcW w:w="5425" w:type="dxa"/>
          </w:tcPr>
          <w:p w:rsidR="00BE097A" w:rsidRDefault="00510251">
            <w:r>
              <w:t>Romero</w:t>
            </w:r>
          </w:p>
        </w:tc>
      </w:tr>
      <w:tr w:rsidR="00BE097A" w:rsidTr="00AB53A7">
        <w:trPr>
          <w:trHeight w:val="270"/>
          <w:jc w:val="center"/>
        </w:trPr>
        <w:tc>
          <w:tcPr>
            <w:tcW w:w="4133" w:type="dxa"/>
          </w:tcPr>
          <w:p w:rsidR="00BE097A" w:rsidRDefault="007504BC">
            <w:pPr>
              <w:pBdr>
                <w:top w:val="nil"/>
                <w:left w:val="nil"/>
                <w:bottom w:val="nil"/>
                <w:right w:val="nil"/>
                <w:between w:val="nil"/>
              </w:pBdr>
              <w:spacing w:before="60" w:after="60"/>
              <w:rPr>
                <w:b/>
                <w:color w:val="000000"/>
                <w:sz w:val="22"/>
                <w:szCs w:val="22"/>
              </w:rPr>
            </w:pPr>
            <w:r>
              <w:rPr>
                <w:b/>
                <w:color w:val="000000"/>
                <w:sz w:val="22"/>
                <w:szCs w:val="22"/>
              </w:rPr>
              <w:t>Given Name:</w:t>
            </w:r>
          </w:p>
        </w:tc>
        <w:tc>
          <w:tcPr>
            <w:tcW w:w="5425" w:type="dxa"/>
          </w:tcPr>
          <w:p w:rsidR="00BE097A" w:rsidRDefault="00510251">
            <w:r>
              <w:t>Victoria</w:t>
            </w:r>
          </w:p>
        </w:tc>
      </w:tr>
      <w:tr w:rsidR="00BE097A" w:rsidTr="00AB53A7">
        <w:trPr>
          <w:trHeight w:val="280"/>
          <w:jc w:val="center"/>
        </w:trPr>
        <w:tc>
          <w:tcPr>
            <w:tcW w:w="4133" w:type="dxa"/>
          </w:tcPr>
          <w:p w:rsidR="00BE097A" w:rsidRDefault="007504BC">
            <w:pPr>
              <w:pBdr>
                <w:top w:val="nil"/>
                <w:left w:val="nil"/>
                <w:bottom w:val="nil"/>
                <w:right w:val="nil"/>
                <w:between w:val="nil"/>
              </w:pBdr>
              <w:spacing w:before="60" w:after="60"/>
              <w:rPr>
                <w:b/>
                <w:color w:val="000000"/>
                <w:sz w:val="22"/>
                <w:szCs w:val="22"/>
              </w:rPr>
            </w:pPr>
            <w:r>
              <w:rPr>
                <w:b/>
                <w:color w:val="000000"/>
                <w:sz w:val="22"/>
                <w:szCs w:val="22"/>
              </w:rPr>
              <w:t xml:space="preserve">Government </w:t>
            </w:r>
            <w:r>
              <w:rPr>
                <w:color w:val="000000"/>
                <w:sz w:val="22"/>
                <w:szCs w:val="22"/>
              </w:rPr>
              <w:t>(if applicable)</w:t>
            </w:r>
            <w:r>
              <w:rPr>
                <w:b/>
                <w:color w:val="000000"/>
                <w:sz w:val="22"/>
                <w:szCs w:val="22"/>
              </w:rPr>
              <w:t xml:space="preserve">: </w:t>
            </w:r>
          </w:p>
        </w:tc>
        <w:tc>
          <w:tcPr>
            <w:tcW w:w="5425" w:type="dxa"/>
          </w:tcPr>
          <w:p w:rsidR="00BE097A" w:rsidRDefault="00BE097A"/>
        </w:tc>
      </w:tr>
      <w:tr w:rsidR="00BE097A" w:rsidTr="00AB53A7">
        <w:trPr>
          <w:trHeight w:val="270"/>
          <w:jc w:val="center"/>
        </w:trPr>
        <w:tc>
          <w:tcPr>
            <w:tcW w:w="4133" w:type="dxa"/>
          </w:tcPr>
          <w:p w:rsidR="00BE097A" w:rsidRDefault="007504BC">
            <w:pPr>
              <w:pBdr>
                <w:top w:val="nil"/>
                <w:left w:val="nil"/>
                <w:bottom w:val="nil"/>
                <w:right w:val="nil"/>
                <w:between w:val="nil"/>
              </w:pBdr>
              <w:spacing w:before="60" w:after="60"/>
              <w:rPr>
                <w:b/>
                <w:color w:val="000000"/>
                <w:sz w:val="22"/>
                <w:szCs w:val="22"/>
              </w:rPr>
            </w:pPr>
            <w:r>
              <w:rPr>
                <w:b/>
                <w:color w:val="000000"/>
                <w:sz w:val="22"/>
                <w:szCs w:val="22"/>
              </w:rPr>
              <w:t>Organization:</w:t>
            </w:r>
          </w:p>
        </w:tc>
        <w:tc>
          <w:tcPr>
            <w:tcW w:w="5425" w:type="dxa"/>
          </w:tcPr>
          <w:p w:rsidR="00BE097A" w:rsidRDefault="00D67E44">
            <w:r>
              <w:t>IUCN</w:t>
            </w:r>
          </w:p>
        </w:tc>
      </w:tr>
      <w:tr w:rsidR="00BE097A" w:rsidTr="00AB53A7">
        <w:trPr>
          <w:trHeight w:val="280"/>
          <w:jc w:val="center"/>
        </w:trPr>
        <w:tc>
          <w:tcPr>
            <w:tcW w:w="4133" w:type="dxa"/>
          </w:tcPr>
          <w:p w:rsidR="00BE097A" w:rsidRDefault="007504BC">
            <w:pPr>
              <w:pBdr>
                <w:top w:val="nil"/>
                <w:left w:val="nil"/>
                <w:bottom w:val="nil"/>
                <w:right w:val="nil"/>
                <w:between w:val="nil"/>
              </w:pBdr>
              <w:spacing w:before="60" w:after="60"/>
              <w:rPr>
                <w:b/>
                <w:color w:val="000000"/>
                <w:sz w:val="22"/>
                <w:szCs w:val="22"/>
              </w:rPr>
            </w:pPr>
            <w:r>
              <w:rPr>
                <w:b/>
                <w:color w:val="000000"/>
                <w:sz w:val="22"/>
                <w:szCs w:val="22"/>
              </w:rPr>
              <w:t xml:space="preserve">Address:  </w:t>
            </w:r>
          </w:p>
        </w:tc>
        <w:tc>
          <w:tcPr>
            <w:tcW w:w="5425" w:type="dxa"/>
          </w:tcPr>
          <w:p w:rsidR="00BE097A" w:rsidRDefault="00D67E44">
            <w:r>
              <w:t xml:space="preserve">Rue </w:t>
            </w:r>
            <w:proofErr w:type="spellStart"/>
            <w:r>
              <w:t>Mauverney</w:t>
            </w:r>
            <w:proofErr w:type="spellEnd"/>
            <w:r>
              <w:t xml:space="preserve"> 28</w:t>
            </w:r>
          </w:p>
        </w:tc>
      </w:tr>
      <w:tr w:rsidR="00BE097A" w:rsidTr="00AB53A7">
        <w:trPr>
          <w:trHeight w:val="270"/>
          <w:jc w:val="center"/>
        </w:trPr>
        <w:tc>
          <w:tcPr>
            <w:tcW w:w="4133" w:type="dxa"/>
          </w:tcPr>
          <w:p w:rsidR="00BE097A" w:rsidRDefault="007504BC">
            <w:pPr>
              <w:pBdr>
                <w:top w:val="nil"/>
                <w:left w:val="nil"/>
                <w:bottom w:val="nil"/>
                <w:right w:val="nil"/>
                <w:between w:val="nil"/>
              </w:pBdr>
              <w:spacing w:before="60" w:after="60"/>
              <w:rPr>
                <w:b/>
                <w:color w:val="000000"/>
                <w:sz w:val="22"/>
                <w:szCs w:val="22"/>
              </w:rPr>
            </w:pPr>
            <w:r>
              <w:rPr>
                <w:b/>
                <w:color w:val="000000"/>
                <w:sz w:val="22"/>
                <w:szCs w:val="22"/>
              </w:rPr>
              <w:t>City:</w:t>
            </w:r>
          </w:p>
        </w:tc>
        <w:tc>
          <w:tcPr>
            <w:tcW w:w="5425" w:type="dxa"/>
          </w:tcPr>
          <w:p w:rsidR="00BE097A" w:rsidRDefault="00D67E44">
            <w:r>
              <w:t>Gland</w:t>
            </w:r>
          </w:p>
        </w:tc>
      </w:tr>
      <w:tr w:rsidR="00BE097A" w:rsidTr="00AB53A7">
        <w:trPr>
          <w:trHeight w:val="280"/>
          <w:jc w:val="center"/>
        </w:trPr>
        <w:tc>
          <w:tcPr>
            <w:tcW w:w="4133" w:type="dxa"/>
          </w:tcPr>
          <w:p w:rsidR="00BE097A" w:rsidRDefault="007504BC">
            <w:pPr>
              <w:pBdr>
                <w:top w:val="nil"/>
                <w:left w:val="nil"/>
                <w:bottom w:val="nil"/>
                <w:right w:val="nil"/>
                <w:between w:val="nil"/>
              </w:pBdr>
              <w:spacing w:before="60" w:after="60"/>
              <w:rPr>
                <w:b/>
                <w:color w:val="000000"/>
                <w:sz w:val="22"/>
                <w:szCs w:val="22"/>
              </w:rPr>
            </w:pPr>
            <w:r>
              <w:rPr>
                <w:b/>
                <w:color w:val="000000"/>
                <w:sz w:val="22"/>
                <w:szCs w:val="22"/>
              </w:rPr>
              <w:t>Country:</w:t>
            </w:r>
          </w:p>
        </w:tc>
        <w:tc>
          <w:tcPr>
            <w:tcW w:w="5425" w:type="dxa"/>
          </w:tcPr>
          <w:p w:rsidR="00BE097A" w:rsidRDefault="00D67E44">
            <w:r>
              <w:t>Switzerland</w:t>
            </w:r>
          </w:p>
        </w:tc>
      </w:tr>
      <w:tr w:rsidR="00BE097A" w:rsidTr="00AB53A7">
        <w:trPr>
          <w:trHeight w:val="270"/>
          <w:jc w:val="center"/>
        </w:trPr>
        <w:tc>
          <w:tcPr>
            <w:tcW w:w="4133" w:type="dxa"/>
          </w:tcPr>
          <w:p w:rsidR="00BE097A" w:rsidRDefault="007504BC">
            <w:pPr>
              <w:pBdr>
                <w:top w:val="nil"/>
                <w:left w:val="nil"/>
                <w:bottom w:val="nil"/>
                <w:right w:val="nil"/>
                <w:between w:val="nil"/>
              </w:pBdr>
              <w:spacing w:before="60" w:after="60"/>
              <w:rPr>
                <w:b/>
                <w:color w:val="000000"/>
                <w:sz w:val="22"/>
                <w:szCs w:val="22"/>
              </w:rPr>
            </w:pPr>
            <w:r>
              <w:rPr>
                <w:b/>
                <w:color w:val="000000"/>
                <w:sz w:val="22"/>
                <w:szCs w:val="22"/>
              </w:rPr>
              <w:t>Postal Code:</w:t>
            </w:r>
          </w:p>
        </w:tc>
        <w:tc>
          <w:tcPr>
            <w:tcW w:w="5425" w:type="dxa"/>
          </w:tcPr>
          <w:p w:rsidR="00BE097A" w:rsidRDefault="00D67E44">
            <w:r>
              <w:t>1196</w:t>
            </w:r>
          </w:p>
        </w:tc>
      </w:tr>
      <w:tr w:rsidR="00BE097A" w:rsidTr="00AB53A7">
        <w:trPr>
          <w:trHeight w:val="270"/>
          <w:jc w:val="center"/>
        </w:trPr>
        <w:tc>
          <w:tcPr>
            <w:tcW w:w="4133" w:type="dxa"/>
          </w:tcPr>
          <w:p w:rsidR="00BE097A" w:rsidRDefault="007504BC">
            <w:pPr>
              <w:pBdr>
                <w:top w:val="nil"/>
                <w:left w:val="nil"/>
                <w:bottom w:val="nil"/>
                <w:right w:val="nil"/>
                <w:between w:val="nil"/>
              </w:pBdr>
              <w:spacing w:before="60" w:after="60"/>
              <w:rPr>
                <w:b/>
                <w:color w:val="000000"/>
                <w:sz w:val="22"/>
                <w:szCs w:val="22"/>
              </w:rPr>
            </w:pPr>
            <w:r>
              <w:rPr>
                <w:b/>
                <w:color w:val="000000"/>
                <w:sz w:val="22"/>
                <w:szCs w:val="22"/>
              </w:rPr>
              <w:t xml:space="preserve">Phone Number </w:t>
            </w:r>
            <w:r>
              <w:rPr>
                <w:color w:val="000000"/>
                <w:sz w:val="22"/>
                <w:szCs w:val="22"/>
              </w:rPr>
              <w:t>(including country code)</w:t>
            </w:r>
            <w:r>
              <w:rPr>
                <w:b/>
                <w:color w:val="000000"/>
                <w:sz w:val="22"/>
                <w:szCs w:val="22"/>
              </w:rPr>
              <w:t xml:space="preserve">:  </w:t>
            </w:r>
          </w:p>
        </w:tc>
        <w:tc>
          <w:tcPr>
            <w:tcW w:w="5425" w:type="dxa"/>
          </w:tcPr>
          <w:p w:rsidR="00BE097A" w:rsidRDefault="00BE097A"/>
        </w:tc>
      </w:tr>
      <w:tr w:rsidR="00BE097A" w:rsidTr="00AB53A7">
        <w:trPr>
          <w:trHeight w:val="233"/>
          <w:jc w:val="center"/>
        </w:trPr>
        <w:tc>
          <w:tcPr>
            <w:tcW w:w="4133" w:type="dxa"/>
          </w:tcPr>
          <w:p w:rsidR="00BE097A" w:rsidRDefault="007504BC">
            <w:pPr>
              <w:pBdr>
                <w:top w:val="nil"/>
                <w:left w:val="nil"/>
                <w:bottom w:val="nil"/>
                <w:right w:val="nil"/>
                <w:between w:val="nil"/>
              </w:pBdr>
              <w:rPr>
                <w:b/>
                <w:color w:val="000000"/>
                <w:sz w:val="22"/>
                <w:szCs w:val="22"/>
              </w:rPr>
            </w:pPr>
            <w:r>
              <w:rPr>
                <w:b/>
                <w:color w:val="000000"/>
                <w:sz w:val="22"/>
                <w:szCs w:val="22"/>
              </w:rPr>
              <w:t>E-mail:</w:t>
            </w:r>
          </w:p>
        </w:tc>
        <w:tc>
          <w:tcPr>
            <w:tcW w:w="5425" w:type="dxa"/>
          </w:tcPr>
          <w:p w:rsidR="00BE097A" w:rsidRDefault="000042F4">
            <w:hyperlink r:id="rId6" w:history="1">
              <w:r w:rsidR="00D67E44" w:rsidRPr="0045673F">
                <w:rPr>
                  <w:rStyle w:val="Hyperlink"/>
                </w:rPr>
                <w:t>Cbd.contact@iucn.org</w:t>
              </w:r>
            </w:hyperlink>
            <w:r w:rsidR="00D67E44">
              <w:t xml:space="preserve"> </w:t>
            </w:r>
          </w:p>
        </w:tc>
      </w:tr>
      <w:tr w:rsidR="00BE097A" w:rsidTr="00AB53A7">
        <w:trPr>
          <w:trHeight w:val="233"/>
          <w:jc w:val="center"/>
        </w:trPr>
        <w:tc>
          <w:tcPr>
            <w:tcW w:w="9558" w:type="dxa"/>
            <w:gridSpan w:val="2"/>
            <w:tcBorders>
              <w:top w:val="single" w:sz="4" w:space="0" w:color="000000"/>
              <w:left w:val="single" w:sz="4" w:space="0" w:color="000000"/>
              <w:bottom w:val="single" w:sz="4" w:space="0" w:color="000000"/>
              <w:right w:val="single" w:sz="4" w:space="0" w:color="000000"/>
            </w:tcBorders>
            <w:shd w:val="clear" w:color="auto" w:fill="BFBFBF"/>
          </w:tcPr>
          <w:p w:rsidR="00BE097A" w:rsidRDefault="007504BC">
            <w:pPr>
              <w:jc w:val="center"/>
              <w:rPr>
                <w:b/>
              </w:rPr>
            </w:pPr>
            <w:r>
              <w:rPr>
                <w:b/>
              </w:rPr>
              <w:t>Comments</w:t>
            </w:r>
          </w:p>
        </w:tc>
      </w:tr>
      <w:tr w:rsidR="00BE097A" w:rsidTr="00AB53A7">
        <w:trPr>
          <w:trHeight w:val="779"/>
          <w:jc w:val="center"/>
        </w:trPr>
        <w:tc>
          <w:tcPr>
            <w:tcW w:w="9558" w:type="dxa"/>
            <w:gridSpan w:val="2"/>
            <w:tcBorders>
              <w:top w:val="single" w:sz="4" w:space="0" w:color="000000"/>
              <w:left w:val="single" w:sz="4" w:space="0" w:color="000000"/>
              <w:bottom w:val="single" w:sz="4" w:space="0" w:color="000000"/>
              <w:right w:val="single" w:sz="4" w:space="0" w:color="000000"/>
            </w:tcBorders>
          </w:tcPr>
          <w:p w:rsidR="00F7476D" w:rsidRDefault="0074114C">
            <w:pPr>
              <w:rPr>
                <w:sz w:val="22"/>
                <w:szCs w:val="22"/>
              </w:rPr>
            </w:pPr>
            <w:r>
              <w:rPr>
                <w:sz w:val="22"/>
                <w:szCs w:val="22"/>
              </w:rPr>
              <w:t xml:space="preserve">IUCN welcomes the guidance for updating or revising the NBSAPs in the light of the post-2020 global biodiversity framework. </w:t>
            </w:r>
          </w:p>
          <w:p w:rsidR="00F7476D" w:rsidRDefault="00F7476D">
            <w:pPr>
              <w:rPr>
                <w:sz w:val="22"/>
                <w:szCs w:val="22"/>
              </w:rPr>
            </w:pPr>
          </w:p>
          <w:p w:rsidR="0074114C" w:rsidRDefault="003606F7">
            <w:pPr>
              <w:rPr>
                <w:sz w:val="22"/>
                <w:szCs w:val="22"/>
              </w:rPr>
            </w:pPr>
            <w:r>
              <w:rPr>
                <w:sz w:val="22"/>
                <w:szCs w:val="22"/>
              </w:rPr>
              <w:t xml:space="preserve">Under the minimum common elements, </w:t>
            </w:r>
            <w:r w:rsidR="0074114C">
              <w:rPr>
                <w:sz w:val="22"/>
                <w:szCs w:val="22"/>
              </w:rPr>
              <w:t xml:space="preserve">IUCN notes that overall there </w:t>
            </w:r>
            <w:r w:rsidR="00F7476D">
              <w:rPr>
                <w:sz w:val="22"/>
                <w:szCs w:val="22"/>
              </w:rPr>
              <w:t>cou</w:t>
            </w:r>
            <w:r w:rsidR="0074114C">
              <w:rPr>
                <w:sz w:val="22"/>
                <w:szCs w:val="22"/>
              </w:rPr>
              <w:t>ld be greater alignment between updating the NBSAPs and national reporting.</w:t>
            </w:r>
            <w:r w:rsidR="00F7476D">
              <w:rPr>
                <w:sz w:val="22"/>
                <w:szCs w:val="22"/>
              </w:rPr>
              <w:t xml:space="preserve"> For instance, if national targets may leverage commitments under other </w:t>
            </w:r>
            <w:r w:rsidR="00C251E9">
              <w:rPr>
                <w:sz w:val="22"/>
                <w:szCs w:val="22"/>
              </w:rPr>
              <w:t xml:space="preserve">multilateral environmental agreements, the same could be said for indicators. </w:t>
            </w:r>
            <w:r>
              <w:rPr>
                <w:sz w:val="22"/>
                <w:szCs w:val="22"/>
              </w:rPr>
              <w:t xml:space="preserve">Further, the importance of a national biodiversity </w:t>
            </w:r>
            <w:r w:rsidR="00CC0435">
              <w:rPr>
                <w:sz w:val="22"/>
                <w:szCs w:val="22"/>
              </w:rPr>
              <w:t xml:space="preserve">finance </w:t>
            </w:r>
            <w:r>
              <w:rPr>
                <w:sz w:val="22"/>
                <w:szCs w:val="22"/>
              </w:rPr>
              <w:t xml:space="preserve">plan is highlighted to identify the resources necessary for implementation but it seems to be a financial needs assessment and fails to specify whether </w:t>
            </w:r>
            <w:r w:rsidR="00993100">
              <w:rPr>
                <w:sz w:val="22"/>
                <w:szCs w:val="22"/>
              </w:rPr>
              <w:t xml:space="preserve">it should include </w:t>
            </w:r>
            <w:r>
              <w:rPr>
                <w:sz w:val="22"/>
                <w:szCs w:val="22"/>
              </w:rPr>
              <w:t xml:space="preserve">a national resource mobilization strategy and whether the monitoring of the plan should be part of the national reports or maintain a separate financial reporting. </w:t>
            </w:r>
            <w:r w:rsidR="0074114C">
              <w:rPr>
                <w:sz w:val="22"/>
                <w:szCs w:val="22"/>
              </w:rPr>
              <w:t xml:space="preserve"> </w:t>
            </w:r>
          </w:p>
          <w:p w:rsidR="0074114C" w:rsidRDefault="0074114C">
            <w:pPr>
              <w:rPr>
                <w:sz w:val="22"/>
                <w:szCs w:val="22"/>
              </w:rPr>
            </w:pPr>
          </w:p>
          <w:p w:rsidR="00993100" w:rsidRDefault="00993100" w:rsidP="00993100">
            <w:pPr>
              <w:rPr>
                <w:sz w:val="22"/>
                <w:szCs w:val="22"/>
              </w:rPr>
            </w:pPr>
            <w:r>
              <w:rPr>
                <w:sz w:val="22"/>
                <w:szCs w:val="22"/>
              </w:rPr>
              <w:t xml:space="preserve">IUCN </w:t>
            </w:r>
            <w:r>
              <w:rPr>
                <w:sz w:val="22"/>
                <w:szCs w:val="22"/>
              </w:rPr>
              <w:t xml:space="preserve">suggests integrating </w:t>
            </w:r>
            <w:r>
              <w:rPr>
                <w:sz w:val="22"/>
                <w:szCs w:val="22"/>
              </w:rPr>
              <w:t xml:space="preserve">gender </w:t>
            </w:r>
            <w:r>
              <w:rPr>
                <w:sz w:val="22"/>
                <w:szCs w:val="22"/>
              </w:rPr>
              <w:t>considerations in the</w:t>
            </w:r>
            <w:r>
              <w:rPr>
                <w:sz w:val="22"/>
                <w:szCs w:val="22"/>
              </w:rPr>
              <w:t xml:space="preserve"> concrete action plans </w:t>
            </w:r>
            <w:r w:rsidR="00D3426E">
              <w:rPr>
                <w:sz w:val="22"/>
                <w:szCs w:val="22"/>
              </w:rPr>
              <w:t>and the monitoring framework</w:t>
            </w:r>
            <w:r>
              <w:rPr>
                <w:sz w:val="22"/>
                <w:szCs w:val="22"/>
              </w:rPr>
              <w:t xml:space="preserve"> </w:t>
            </w:r>
            <w:r w:rsidR="00D3426E">
              <w:rPr>
                <w:sz w:val="22"/>
                <w:szCs w:val="22"/>
              </w:rPr>
              <w:t>for a stronger alignment with t</w:t>
            </w:r>
            <w:r>
              <w:rPr>
                <w:sz w:val="22"/>
                <w:szCs w:val="22"/>
              </w:rPr>
              <w:t xml:space="preserve">he upcoming </w:t>
            </w:r>
            <w:r w:rsidR="00D3426E">
              <w:rPr>
                <w:sz w:val="22"/>
                <w:szCs w:val="22"/>
              </w:rPr>
              <w:t xml:space="preserve">post-2020 </w:t>
            </w:r>
            <w:r>
              <w:rPr>
                <w:sz w:val="22"/>
                <w:szCs w:val="22"/>
              </w:rPr>
              <w:t>G</w:t>
            </w:r>
            <w:r w:rsidR="00D3426E">
              <w:rPr>
                <w:sz w:val="22"/>
                <w:szCs w:val="22"/>
              </w:rPr>
              <w:t xml:space="preserve">ender </w:t>
            </w:r>
            <w:r>
              <w:rPr>
                <w:sz w:val="22"/>
                <w:szCs w:val="22"/>
              </w:rPr>
              <w:t>P</w:t>
            </w:r>
            <w:r w:rsidR="00D3426E">
              <w:rPr>
                <w:sz w:val="22"/>
                <w:szCs w:val="22"/>
              </w:rPr>
              <w:t xml:space="preserve">lan of </w:t>
            </w:r>
            <w:r>
              <w:rPr>
                <w:sz w:val="22"/>
                <w:szCs w:val="22"/>
              </w:rPr>
              <w:t>A</w:t>
            </w:r>
            <w:r w:rsidR="00D3426E">
              <w:rPr>
                <w:sz w:val="22"/>
                <w:szCs w:val="22"/>
              </w:rPr>
              <w:t>ction</w:t>
            </w:r>
            <w:r>
              <w:rPr>
                <w:sz w:val="22"/>
                <w:szCs w:val="22"/>
              </w:rPr>
              <w:t xml:space="preserve">. </w:t>
            </w:r>
          </w:p>
          <w:p w:rsidR="00993100" w:rsidRDefault="00993100">
            <w:pPr>
              <w:rPr>
                <w:sz w:val="22"/>
                <w:szCs w:val="22"/>
              </w:rPr>
            </w:pPr>
          </w:p>
          <w:p w:rsidR="00BE097A" w:rsidRDefault="007504BC">
            <w:pPr>
              <w:rPr>
                <w:sz w:val="22"/>
                <w:szCs w:val="22"/>
              </w:rPr>
            </w:pPr>
            <w:r>
              <w:rPr>
                <w:sz w:val="22"/>
                <w:szCs w:val="22"/>
              </w:rPr>
              <w:t xml:space="preserve">IUCN appreciates </w:t>
            </w:r>
            <w:r w:rsidR="0074114C">
              <w:rPr>
                <w:sz w:val="22"/>
                <w:szCs w:val="22"/>
              </w:rPr>
              <w:t>the “</w:t>
            </w:r>
            <w:r>
              <w:rPr>
                <w:sz w:val="22"/>
                <w:szCs w:val="22"/>
              </w:rPr>
              <w:t xml:space="preserve">whole-of-government and whole-of-society approach for the revision, implementation and review of their NBSAPs”. IUCN </w:t>
            </w:r>
            <w:r w:rsidR="0074114C">
              <w:rPr>
                <w:sz w:val="22"/>
                <w:szCs w:val="22"/>
              </w:rPr>
              <w:t>highlights</w:t>
            </w:r>
            <w:r>
              <w:rPr>
                <w:sz w:val="22"/>
                <w:szCs w:val="22"/>
              </w:rPr>
              <w:t xml:space="preserve"> existing tools and analyses</w:t>
            </w:r>
            <w:r>
              <w:rPr>
                <w:sz w:val="22"/>
                <w:szCs w:val="22"/>
                <w:vertAlign w:val="superscript"/>
              </w:rPr>
              <w:footnoteReference w:id="1"/>
            </w:r>
            <w:r>
              <w:rPr>
                <w:sz w:val="22"/>
                <w:szCs w:val="22"/>
              </w:rPr>
              <w:t xml:space="preserve"> to guide ambitious and inclusive NBSAP updating processes, toward meeting interlinked global goals. Guidance </w:t>
            </w:r>
            <w:r>
              <w:rPr>
                <w:sz w:val="22"/>
                <w:szCs w:val="22"/>
              </w:rPr>
              <w:lastRenderedPageBreak/>
              <w:t>on NDCs, for example, may be applicable.</w:t>
            </w:r>
            <w:r>
              <w:rPr>
                <w:sz w:val="22"/>
                <w:szCs w:val="22"/>
                <w:vertAlign w:val="superscript"/>
              </w:rPr>
              <w:footnoteReference w:id="2"/>
            </w:r>
            <w:r>
              <w:rPr>
                <w:sz w:val="22"/>
                <w:szCs w:val="22"/>
              </w:rPr>
              <w:t xml:space="preserve"> Guidance for parties and stakeholders may also include indications of enabling conditions that aid in review and revision - as wel</w:t>
            </w:r>
            <w:r w:rsidR="0074114C">
              <w:rPr>
                <w:sz w:val="22"/>
                <w:szCs w:val="22"/>
              </w:rPr>
              <w:t>l as implementation – processes.</w:t>
            </w:r>
            <w:r>
              <w:rPr>
                <w:sz w:val="22"/>
                <w:szCs w:val="22"/>
              </w:rPr>
              <w:t xml:space="preserve"> </w:t>
            </w:r>
            <w:r w:rsidR="0074114C">
              <w:rPr>
                <w:sz w:val="22"/>
                <w:szCs w:val="22"/>
              </w:rPr>
              <w:t>F</w:t>
            </w:r>
            <w:r>
              <w:rPr>
                <w:sz w:val="22"/>
                <w:szCs w:val="22"/>
              </w:rPr>
              <w:t xml:space="preserve">or example, parties to the CBD may consider appointing national gender and biodiversity focal points, as parties to the UNFCCC have been invited to appoint and sustain capacity of national gender and climate change focal points. </w:t>
            </w:r>
          </w:p>
          <w:p w:rsidR="00D3426E" w:rsidRDefault="00D3426E">
            <w:pPr>
              <w:rPr>
                <w:sz w:val="22"/>
                <w:szCs w:val="22"/>
              </w:rPr>
            </w:pPr>
          </w:p>
          <w:p w:rsidR="00D3426E" w:rsidRDefault="00D3426E">
            <w:pPr>
              <w:rPr>
                <w:sz w:val="22"/>
                <w:szCs w:val="22"/>
              </w:rPr>
            </w:pPr>
            <w:r>
              <w:rPr>
                <w:sz w:val="22"/>
                <w:szCs w:val="22"/>
              </w:rPr>
              <w:t xml:space="preserve">Finally, </w:t>
            </w:r>
            <w:r w:rsidR="00406931">
              <w:rPr>
                <w:sz w:val="22"/>
                <w:szCs w:val="22"/>
              </w:rPr>
              <w:t xml:space="preserve">while the intent of the template is to submit national targets that contribute to each of the targets of the post-2020 global biodiversity framework, there could be a space for national targets that contribute to other elements of the framework, like </w:t>
            </w:r>
            <w:r w:rsidR="008C50D6">
              <w:rPr>
                <w:sz w:val="22"/>
                <w:szCs w:val="22"/>
              </w:rPr>
              <w:t xml:space="preserve">enabling conditions, implementation support mechanisms and outreach awareness and uptake. </w:t>
            </w:r>
            <w:r w:rsidR="000042F4">
              <w:rPr>
                <w:sz w:val="22"/>
                <w:szCs w:val="22"/>
              </w:rPr>
              <w:t>Similarly contributions from such national targets could be captured in the templates for the 7</w:t>
            </w:r>
            <w:r w:rsidR="000042F4" w:rsidRPr="000042F4">
              <w:rPr>
                <w:sz w:val="22"/>
                <w:szCs w:val="22"/>
                <w:vertAlign w:val="superscript"/>
              </w:rPr>
              <w:t>th</w:t>
            </w:r>
            <w:r w:rsidR="000042F4">
              <w:rPr>
                <w:sz w:val="22"/>
                <w:szCs w:val="22"/>
              </w:rPr>
              <w:t xml:space="preserve"> and 8</w:t>
            </w:r>
            <w:r w:rsidR="000042F4" w:rsidRPr="000042F4">
              <w:rPr>
                <w:sz w:val="22"/>
                <w:szCs w:val="22"/>
                <w:vertAlign w:val="superscript"/>
              </w:rPr>
              <w:t>th</w:t>
            </w:r>
            <w:r w:rsidR="000042F4">
              <w:rPr>
                <w:sz w:val="22"/>
                <w:szCs w:val="22"/>
              </w:rPr>
              <w:t xml:space="preserve"> national reports.</w:t>
            </w:r>
            <w:bookmarkStart w:id="0" w:name="_GoBack"/>
            <w:bookmarkEnd w:id="0"/>
          </w:p>
          <w:p w:rsidR="00EF7E57" w:rsidRDefault="00EF7E57">
            <w:pPr>
              <w:rPr>
                <w:sz w:val="22"/>
                <w:szCs w:val="22"/>
              </w:rPr>
            </w:pPr>
          </w:p>
        </w:tc>
      </w:tr>
      <w:tr w:rsidR="00BE097A" w:rsidTr="00AB53A7">
        <w:trPr>
          <w:trHeight w:val="404"/>
          <w:jc w:val="center"/>
        </w:trPr>
        <w:tc>
          <w:tcPr>
            <w:tcW w:w="9558" w:type="dxa"/>
            <w:gridSpan w:val="2"/>
            <w:tcBorders>
              <w:top w:val="single" w:sz="4" w:space="0" w:color="000000"/>
              <w:left w:val="single" w:sz="4" w:space="0" w:color="000000"/>
              <w:bottom w:val="nil"/>
              <w:right w:val="single" w:sz="4" w:space="0" w:color="000000"/>
            </w:tcBorders>
            <w:vAlign w:val="center"/>
          </w:tcPr>
          <w:p w:rsidR="00BE097A" w:rsidRDefault="00EF7E57">
            <w:pPr>
              <w:rPr>
                <w:sz w:val="22"/>
                <w:szCs w:val="22"/>
              </w:rPr>
            </w:pPr>
            <w:r w:rsidRPr="00EF7E57">
              <w:rPr>
                <w:sz w:val="22"/>
                <w:szCs w:val="22"/>
              </w:rPr>
              <w:lastRenderedPageBreak/>
              <w:t>Please use the table below to provide any specific comments on the template:</w:t>
            </w:r>
          </w:p>
        </w:tc>
      </w:tr>
    </w:tbl>
    <w:tbl>
      <w:tblPr>
        <w:tblStyle w:val="a0"/>
        <w:tblW w:w="9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
        <w:gridCol w:w="8607"/>
      </w:tblGrid>
      <w:tr w:rsidR="00BE097A" w:rsidTr="00AB53A7">
        <w:trPr>
          <w:trHeight w:val="314"/>
          <w:jc w:val="center"/>
        </w:trPr>
        <w:tc>
          <w:tcPr>
            <w:tcW w:w="975" w:type="dxa"/>
            <w:shd w:val="clear" w:color="auto" w:fill="D9D9D9"/>
          </w:tcPr>
          <w:p w:rsidR="00BE097A" w:rsidRDefault="007504BC">
            <w:pPr>
              <w:pBdr>
                <w:top w:val="nil"/>
                <w:left w:val="nil"/>
                <w:bottom w:val="nil"/>
                <w:right w:val="nil"/>
                <w:between w:val="nil"/>
              </w:pBdr>
              <w:jc w:val="both"/>
              <w:rPr>
                <w:b/>
                <w:color w:val="000000"/>
                <w:sz w:val="22"/>
                <w:szCs w:val="22"/>
              </w:rPr>
            </w:pPr>
            <w:r>
              <w:rPr>
                <w:i/>
                <w:color w:val="000000"/>
                <w:sz w:val="22"/>
                <w:szCs w:val="22"/>
              </w:rPr>
              <w:t xml:space="preserve"> </w:t>
            </w:r>
            <w:r>
              <w:rPr>
                <w:b/>
                <w:color w:val="000000"/>
                <w:sz w:val="22"/>
                <w:szCs w:val="22"/>
              </w:rPr>
              <w:t>Section</w:t>
            </w:r>
          </w:p>
        </w:tc>
        <w:tc>
          <w:tcPr>
            <w:tcW w:w="8607" w:type="dxa"/>
            <w:tcBorders>
              <w:top w:val="single" w:sz="4" w:space="0" w:color="000000"/>
            </w:tcBorders>
            <w:shd w:val="clear" w:color="auto" w:fill="D9D9D9"/>
          </w:tcPr>
          <w:p w:rsidR="00BE097A" w:rsidRDefault="007504BC">
            <w:pPr>
              <w:pBdr>
                <w:top w:val="nil"/>
                <w:left w:val="nil"/>
                <w:bottom w:val="nil"/>
                <w:right w:val="nil"/>
                <w:between w:val="nil"/>
              </w:pBdr>
              <w:jc w:val="both"/>
              <w:rPr>
                <w:b/>
                <w:color w:val="000000"/>
                <w:sz w:val="22"/>
                <w:szCs w:val="22"/>
              </w:rPr>
            </w:pPr>
            <w:r>
              <w:rPr>
                <w:b/>
                <w:color w:val="000000"/>
                <w:sz w:val="22"/>
                <w:szCs w:val="22"/>
              </w:rPr>
              <w:t>Comment</w:t>
            </w:r>
          </w:p>
        </w:tc>
      </w:tr>
      <w:tr w:rsidR="00BE097A" w:rsidTr="00AB53A7">
        <w:trPr>
          <w:jc w:val="center"/>
        </w:trPr>
        <w:tc>
          <w:tcPr>
            <w:tcW w:w="975" w:type="dxa"/>
          </w:tcPr>
          <w:p w:rsidR="00BE097A" w:rsidRDefault="007504BC">
            <w:pPr>
              <w:pBdr>
                <w:top w:val="nil"/>
                <w:left w:val="nil"/>
                <w:bottom w:val="nil"/>
                <w:right w:val="nil"/>
                <w:between w:val="nil"/>
              </w:pBdr>
              <w:jc w:val="both"/>
              <w:rPr>
                <w:color w:val="000000"/>
                <w:sz w:val="22"/>
                <w:szCs w:val="22"/>
              </w:rPr>
            </w:pPr>
            <w:r>
              <w:rPr>
                <w:color w:val="000000"/>
                <w:sz w:val="22"/>
                <w:szCs w:val="22"/>
              </w:rPr>
              <w:t>1</w:t>
            </w:r>
          </w:p>
        </w:tc>
        <w:tc>
          <w:tcPr>
            <w:tcW w:w="8607" w:type="dxa"/>
          </w:tcPr>
          <w:p w:rsidR="00BE097A" w:rsidRDefault="00BE097A" w:rsidP="009D5DC6">
            <w:pPr>
              <w:pBdr>
                <w:top w:val="nil"/>
                <w:left w:val="nil"/>
                <w:bottom w:val="nil"/>
                <w:right w:val="nil"/>
                <w:between w:val="nil"/>
              </w:pBdr>
              <w:jc w:val="both"/>
              <w:rPr>
                <w:color w:val="000000"/>
                <w:sz w:val="22"/>
                <w:szCs w:val="22"/>
              </w:rPr>
            </w:pPr>
          </w:p>
        </w:tc>
      </w:tr>
      <w:tr w:rsidR="00BE097A" w:rsidTr="00AB53A7">
        <w:trPr>
          <w:jc w:val="center"/>
        </w:trPr>
        <w:tc>
          <w:tcPr>
            <w:tcW w:w="975" w:type="dxa"/>
          </w:tcPr>
          <w:p w:rsidR="00BE097A" w:rsidRDefault="007504BC">
            <w:pPr>
              <w:pBdr>
                <w:top w:val="nil"/>
                <w:left w:val="nil"/>
                <w:bottom w:val="nil"/>
                <w:right w:val="nil"/>
                <w:between w:val="nil"/>
              </w:pBdr>
              <w:rPr>
                <w:color w:val="000000"/>
                <w:sz w:val="22"/>
                <w:szCs w:val="22"/>
              </w:rPr>
            </w:pPr>
            <w:r>
              <w:rPr>
                <w:color w:val="000000"/>
                <w:sz w:val="22"/>
                <w:szCs w:val="22"/>
              </w:rPr>
              <w:t>2</w:t>
            </w:r>
          </w:p>
        </w:tc>
        <w:tc>
          <w:tcPr>
            <w:tcW w:w="8607" w:type="dxa"/>
          </w:tcPr>
          <w:p w:rsidR="00BE097A" w:rsidRDefault="00BE097A" w:rsidP="009D5DC6">
            <w:pPr>
              <w:pBdr>
                <w:top w:val="nil"/>
                <w:left w:val="nil"/>
                <w:bottom w:val="nil"/>
                <w:right w:val="nil"/>
                <w:between w:val="nil"/>
              </w:pBdr>
              <w:rPr>
                <w:color w:val="000000"/>
                <w:sz w:val="22"/>
                <w:szCs w:val="22"/>
              </w:rPr>
            </w:pPr>
          </w:p>
        </w:tc>
      </w:tr>
      <w:tr w:rsidR="00BE097A" w:rsidTr="00AB53A7">
        <w:trPr>
          <w:jc w:val="center"/>
        </w:trPr>
        <w:tc>
          <w:tcPr>
            <w:tcW w:w="975" w:type="dxa"/>
          </w:tcPr>
          <w:p w:rsidR="00BE097A" w:rsidRDefault="007504BC">
            <w:pPr>
              <w:pBdr>
                <w:top w:val="nil"/>
                <w:left w:val="nil"/>
                <w:bottom w:val="nil"/>
                <w:right w:val="nil"/>
                <w:between w:val="nil"/>
              </w:pBdr>
              <w:jc w:val="both"/>
              <w:rPr>
                <w:color w:val="000000"/>
                <w:sz w:val="22"/>
                <w:szCs w:val="22"/>
              </w:rPr>
            </w:pPr>
            <w:r>
              <w:rPr>
                <w:color w:val="000000"/>
                <w:sz w:val="22"/>
                <w:szCs w:val="22"/>
              </w:rPr>
              <w:t>3</w:t>
            </w:r>
          </w:p>
        </w:tc>
        <w:tc>
          <w:tcPr>
            <w:tcW w:w="8607" w:type="dxa"/>
          </w:tcPr>
          <w:p w:rsidR="00BE097A" w:rsidRDefault="007504BC">
            <w:pPr>
              <w:rPr>
                <w:sz w:val="22"/>
                <w:szCs w:val="22"/>
              </w:rPr>
            </w:pPr>
            <w:r>
              <w:rPr>
                <w:sz w:val="22"/>
                <w:szCs w:val="22"/>
              </w:rPr>
              <w:t xml:space="preserve">This section should include examples that also link to gender equality frameworks, such as CEDAW. </w:t>
            </w:r>
          </w:p>
        </w:tc>
      </w:tr>
      <w:tr w:rsidR="00BE097A" w:rsidTr="00AB53A7">
        <w:trPr>
          <w:jc w:val="center"/>
        </w:trPr>
        <w:tc>
          <w:tcPr>
            <w:tcW w:w="975" w:type="dxa"/>
          </w:tcPr>
          <w:p w:rsidR="00BE097A" w:rsidRDefault="007504BC">
            <w:pPr>
              <w:rPr>
                <w:sz w:val="22"/>
                <w:szCs w:val="22"/>
              </w:rPr>
            </w:pPr>
            <w:r>
              <w:rPr>
                <w:sz w:val="22"/>
                <w:szCs w:val="22"/>
              </w:rPr>
              <w:t>4</w:t>
            </w:r>
          </w:p>
        </w:tc>
        <w:tc>
          <w:tcPr>
            <w:tcW w:w="8607" w:type="dxa"/>
          </w:tcPr>
          <w:p w:rsidR="00BE097A" w:rsidRDefault="007504BC">
            <w:pPr>
              <w:pBdr>
                <w:top w:val="nil"/>
                <w:left w:val="nil"/>
                <w:bottom w:val="nil"/>
                <w:right w:val="nil"/>
                <w:between w:val="nil"/>
              </w:pBdr>
              <w:rPr>
                <w:sz w:val="22"/>
                <w:szCs w:val="22"/>
              </w:rPr>
            </w:pPr>
            <w:r>
              <w:rPr>
                <w:sz w:val="22"/>
                <w:szCs w:val="22"/>
              </w:rPr>
              <w:t xml:space="preserve">IUCN emphasizes that cross-sector coordination must include participation and representation of diverse women's and gender-focused groups, cooperatives, ministries, etc. IUCN recommends making explicit note of these examples in this section. </w:t>
            </w:r>
          </w:p>
        </w:tc>
      </w:tr>
    </w:tbl>
    <w:p w:rsidR="00BE097A" w:rsidRDefault="00BE097A">
      <w:pPr>
        <w:jc w:val="both"/>
      </w:pPr>
    </w:p>
    <w:sectPr w:rsidR="00BE097A">
      <w:pgSz w:w="12240" w:h="15840"/>
      <w:pgMar w:top="90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4BC" w:rsidRDefault="007504BC">
      <w:r>
        <w:separator/>
      </w:r>
    </w:p>
  </w:endnote>
  <w:endnote w:type="continuationSeparator" w:id="0">
    <w:p w:rsidR="007504BC" w:rsidRDefault="0075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4BC" w:rsidRDefault="007504BC">
      <w:r>
        <w:separator/>
      </w:r>
    </w:p>
  </w:footnote>
  <w:footnote w:type="continuationSeparator" w:id="0">
    <w:p w:rsidR="007504BC" w:rsidRDefault="007504BC">
      <w:r>
        <w:continuationSeparator/>
      </w:r>
    </w:p>
  </w:footnote>
  <w:footnote w:id="1">
    <w:p w:rsidR="00BE097A" w:rsidRPr="00EF7E57" w:rsidRDefault="007504BC">
      <w:pPr>
        <w:rPr>
          <w:sz w:val="16"/>
          <w:szCs w:val="16"/>
        </w:rPr>
      </w:pPr>
      <w:r w:rsidRPr="00EF7E57">
        <w:rPr>
          <w:sz w:val="16"/>
          <w:szCs w:val="16"/>
          <w:vertAlign w:val="superscript"/>
        </w:rPr>
        <w:footnoteRef/>
      </w:r>
      <w:r w:rsidRPr="00EF7E57">
        <w:rPr>
          <w:sz w:val="16"/>
          <w:szCs w:val="16"/>
        </w:rPr>
        <w:t xml:space="preserve"> See for example: </w:t>
      </w:r>
      <w:hyperlink r:id="rId1">
        <w:r w:rsidRPr="00EF7E57">
          <w:rPr>
            <w:color w:val="1155CC"/>
            <w:sz w:val="16"/>
            <w:szCs w:val="16"/>
            <w:u w:val="single"/>
          </w:rPr>
          <w:t>Gender and biodiversity: Analysis of women and gender equality considerations in National Biodiversity Strategies and Action Plans (NBSAPs)</w:t>
        </w:r>
      </w:hyperlink>
    </w:p>
  </w:footnote>
  <w:footnote w:id="2">
    <w:p w:rsidR="00BE097A" w:rsidRDefault="007504BC">
      <w:pPr>
        <w:rPr>
          <w:sz w:val="20"/>
          <w:szCs w:val="20"/>
        </w:rPr>
      </w:pPr>
      <w:r w:rsidRPr="00EF7E57">
        <w:rPr>
          <w:sz w:val="16"/>
          <w:szCs w:val="16"/>
          <w:vertAlign w:val="superscript"/>
        </w:rPr>
        <w:footnoteRef/>
      </w:r>
      <w:r w:rsidRPr="00EF7E57">
        <w:rPr>
          <w:sz w:val="16"/>
          <w:szCs w:val="16"/>
        </w:rPr>
        <w:t xml:space="preserve"> See for example: </w:t>
      </w:r>
      <w:hyperlink r:id="rId2" w:history="1">
        <w:r w:rsidR="00EF7E57" w:rsidRPr="007C1625">
          <w:rPr>
            <w:rStyle w:val="Hyperlink"/>
            <w:sz w:val="16"/>
            <w:szCs w:val="16"/>
          </w:rPr>
          <w:t>https://ndcpartnership.org/sites/default/files/Gender_Responsive_NDC_Action_Plans_Practical_Guide-March-2021.pdf</w:t>
        </w:r>
      </w:hyperlink>
      <w:r w:rsidR="00EF7E57">
        <w:rPr>
          <w:sz w:val="16"/>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97A"/>
    <w:rsid w:val="000042F4"/>
    <w:rsid w:val="003606F7"/>
    <w:rsid w:val="00406931"/>
    <w:rsid w:val="00510251"/>
    <w:rsid w:val="0074114C"/>
    <w:rsid w:val="007504BC"/>
    <w:rsid w:val="008C50D6"/>
    <w:rsid w:val="00993100"/>
    <w:rsid w:val="009D5DC6"/>
    <w:rsid w:val="00AB53A7"/>
    <w:rsid w:val="00BE097A"/>
    <w:rsid w:val="00C251E9"/>
    <w:rsid w:val="00C601CC"/>
    <w:rsid w:val="00CC0435"/>
    <w:rsid w:val="00D3426E"/>
    <w:rsid w:val="00D67E44"/>
    <w:rsid w:val="00EF7E57"/>
    <w:rsid w:val="00F74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CDE6"/>
  <w15:docId w15:val="{DA57CF41-2789-4DEE-A296-06C744F2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D67E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bd.contact@iucn.org"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ndcpartnership.org/sites/default/files/Gender_Responsive_NDC_Action_Plans_Practical_Guide-March-2021.pdf" TargetMode="External"/><Relationship Id="rId1" Type="http://schemas.openxmlformats.org/officeDocument/2006/relationships/hyperlink" Target="https://genderandenvironment.org/report-gender-and-biodiversity-analysis-of-women-and-gender-equality-considerations-in-national-biodiversity-strategies-and-action-plans-nbs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ROMERO Victoria</dc:creator>
  <cp:lastModifiedBy>Victoria Romero</cp:lastModifiedBy>
  <cp:revision>3</cp:revision>
  <dcterms:created xsi:type="dcterms:W3CDTF">2022-02-25T20:49:00Z</dcterms:created>
  <dcterms:modified xsi:type="dcterms:W3CDTF">2022-02-25T20:53:00Z</dcterms:modified>
</cp:coreProperties>
</file>